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871F7"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66E5BBCE" w:rsidR="00060C29" w:rsidRPr="00D64E17" w:rsidRDefault="000871F7" w:rsidP="0018335F">
            <w:pPr>
              <w:jc w:val="center"/>
              <w:rPr>
                <w:lang w:val="es-MX"/>
              </w:rPr>
            </w:pPr>
            <w:r>
              <w:rPr>
                <w:color w:val="000000" w:themeColor="text1"/>
                <w:lang w:val="es-MX"/>
              </w:rPr>
              <w:t>13-01-2026</w:t>
            </w:r>
          </w:p>
        </w:tc>
        <w:tc>
          <w:tcPr>
            <w:tcW w:w="8647" w:type="dxa"/>
            <w:vAlign w:val="center"/>
          </w:tcPr>
          <w:p w14:paraId="08EEF1A7" w14:textId="4CA21F6B" w:rsidR="00060C29" w:rsidRPr="00D64E17" w:rsidRDefault="000871F7"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0871F7"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0871F7" w:rsidRPr="00C7394E" w:rsidRDefault="000871F7" w:rsidP="000871F7">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1DE17734" w:rsidR="000871F7" w:rsidRPr="006C1404" w:rsidRDefault="000871F7" w:rsidP="000871F7">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34078FF2" w:rsidR="000871F7" w:rsidRPr="006C1404" w:rsidRDefault="000871F7" w:rsidP="000871F7">
            <w:pPr>
              <w:ind w:right="-101"/>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642DE0AA" w:rsidR="000871F7" w:rsidRPr="006C1404" w:rsidRDefault="000871F7" w:rsidP="000871F7">
            <w:pPr>
              <w:jc w:val="center"/>
              <w:rPr>
                <w:lang w:val="es-MX"/>
              </w:rPr>
            </w:pPr>
            <w:r>
              <w:rPr>
                <w:lang w:val="es-MX"/>
              </w:rPr>
              <w:t>David Navarro</w:t>
            </w:r>
          </w:p>
        </w:tc>
      </w:tr>
      <w:tr w:rsidR="000871F7"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0871F7" w:rsidRPr="00C7394E" w:rsidRDefault="000871F7" w:rsidP="000871F7">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52A399C4" w:rsidR="000871F7" w:rsidRDefault="000871F7" w:rsidP="000871F7">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0F770B58" w:rsidR="000871F7" w:rsidRDefault="000871F7" w:rsidP="000871F7">
            <w:pPr>
              <w:ind w:right="-101"/>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081E7D78" w:rsidR="000871F7" w:rsidRDefault="000871F7" w:rsidP="000871F7">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318D5817" w:rsidR="00BB7846" w:rsidRDefault="00D115FB" w:rsidP="00D115FB">
      <w:pPr>
        <w:pStyle w:val="Prrafodelista"/>
        <w:numPr>
          <w:ilvl w:val="1"/>
          <w:numId w:val="2"/>
        </w:numPr>
        <w:jc w:val="both"/>
        <w:rPr>
          <w:rFonts w:cs="Arial"/>
          <w:color w:val="000000"/>
          <w:kern w:val="0"/>
          <w:lang w:val="es-MX" w:eastAsia="es-MX"/>
        </w:rPr>
      </w:pPr>
      <w:r w:rsidRPr="00D115FB">
        <w:rPr>
          <w:rFonts w:cs="Arial"/>
          <w:color w:val="000000"/>
          <w:kern w:val="0"/>
          <w:lang w:val="es-MX" w:eastAsia="es-MX"/>
        </w:rPr>
        <w:t>Establecer los lineamientos básicos que permitan mantener de manera segura la información de la Organización, a consecuencia del uso de medios de almacenamiento removibles por el usuario final.</w:t>
      </w:r>
    </w:p>
    <w:p w14:paraId="45FA9B2C" w14:textId="77777777" w:rsidR="00D115FB" w:rsidRPr="00D115FB" w:rsidRDefault="00D115FB" w:rsidP="00D115FB">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7D1853CA" w14:textId="418AD8B7" w:rsidR="00821F5C" w:rsidRDefault="00821F5C" w:rsidP="00821F5C">
      <w:pPr>
        <w:pStyle w:val="Prrafodelista"/>
        <w:numPr>
          <w:ilvl w:val="1"/>
          <w:numId w:val="2"/>
        </w:numPr>
        <w:jc w:val="both"/>
        <w:rPr>
          <w:rFonts w:cs="Arial"/>
          <w:lang w:val="es-MX"/>
        </w:rPr>
      </w:pPr>
      <w:r w:rsidRPr="00821F5C">
        <w:rPr>
          <w:rFonts w:cs="Arial"/>
          <w:lang w:val="es-MX"/>
        </w:rPr>
        <w:t>Este documento aplica en casos excepcionales que requieran desbloquear puertos USB, por ejemplo: Cuando se solicite información por auditores, proveedores y personal interno de la Organización que por sus funciones requieran desbloqueo.</w:t>
      </w:r>
    </w:p>
    <w:p w14:paraId="14912AD5" w14:textId="77777777" w:rsidR="00821F5C" w:rsidRPr="00821F5C" w:rsidRDefault="00821F5C" w:rsidP="00821F5C">
      <w:pPr>
        <w:pStyle w:val="Prrafodelista"/>
        <w:ind w:left="1080"/>
        <w:jc w:val="both"/>
        <w:rPr>
          <w:rFonts w:cs="Arial"/>
          <w:lang w:val="es-MX"/>
        </w:rPr>
      </w:pPr>
    </w:p>
    <w:p w14:paraId="20A15F51" w14:textId="7BA97648"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w:t>
      </w:r>
      <w:r w:rsidR="00947020">
        <w:rPr>
          <w:rFonts w:cs="Arial"/>
          <w:b/>
          <w:bCs/>
          <w:sz w:val="22"/>
          <w:lang w:val="es-MX"/>
        </w:rPr>
        <w:t>rocedimiento de autorización</w:t>
      </w:r>
    </w:p>
    <w:p w14:paraId="3B74B5F7" w14:textId="0060C72D" w:rsidR="008726ED" w:rsidRPr="00CA7845" w:rsidRDefault="00947020" w:rsidP="00CA7845">
      <w:pPr>
        <w:numPr>
          <w:ilvl w:val="1"/>
          <w:numId w:val="2"/>
        </w:numPr>
        <w:overflowPunct/>
        <w:autoSpaceDE/>
        <w:autoSpaceDN/>
        <w:adjustRightInd/>
        <w:spacing w:before="100" w:beforeAutospacing="1" w:after="240"/>
        <w:jc w:val="both"/>
        <w:textAlignment w:val="auto"/>
        <w:rPr>
          <w:lang w:val="es-MX"/>
        </w:rPr>
      </w:pPr>
      <w:r>
        <w:rPr>
          <w:b/>
          <w:lang w:val="es-MX"/>
        </w:rPr>
        <w:t>Autorización.</w:t>
      </w:r>
    </w:p>
    <w:p w14:paraId="35CCC4E6" w14:textId="77777777" w:rsidR="00C57D44" w:rsidRDefault="00C57D44" w:rsidP="00C57D44">
      <w:pPr>
        <w:pStyle w:val="Prrafodelista"/>
        <w:numPr>
          <w:ilvl w:val="2"/>
          <w:numId w:val="2"/>
        </w:numPr>
        <w:jc w:val="both"/>
        <w:rPr>
          <w:lang w:val="es-MX"/>
        </w:rPr>
      </w:pPr>
      <w:r w:rsidRPr="00C57D44">
        <w:rPr>
          <w:lang w:val="es-MX"/>
        </w:rPr>
        <w:t>Para autorizar el uso de dispositivos removibles de almacenamiento, el Gerente de área interesado deberá solicitarlo vía correo electrónico a la Gerencia de Infraestructura, especificando:</w:t>
      </w:r>
    </w:p>
    <w:p w14:paraId="42781A38" w14:textId="77777777" w:rsidR="009C30A3" w:rsidRPr="009C30A3" w:rsidRDefault="009C30A3" w:rsidP="009C30A3">
      <w:pPr>
        <w:jc w:val="both"/>
        <w:rPr>
          <w:lang w:val="es-MX"/>
        </w:rPr>
      </w:pPr>
    </w:p>
    <w:p w14:paraId="1492B5E1" w14:textId="77777777" w:rsidR="009C30A3" w:rsidRPr="009C30A3" w:rsidRDefault="009C30A3" w:rsidP="009C30A3">
      <w:pPr>
        <w:pStyle w:val="Prrafodelista"/>
        <w:numPr>
          <w:ilvl w:val="0"/>
          <w:numId w:val="12"/>
        </w:numPr>
        <w:jc w:val="both"/>
        <w:rPr>
          <w:lang w:val="es-MX"/>
        </w:rPr>
      </w:pPr>
      <w:r w:rsidRPr="009C30A3">
        <w:rPr>
          <w:lang w:val="es-MX"/>
        </w:rPr>
        <w:t>El motivo.</w:t>
      </w:r>
    </w:p>
    <w:p w14:paraId="27CFB874" w14:textId="0EEFA525" w:rsidR="009C30A3" w:rsidRDefault="009C30A3" w:rsidP="009C30A3">
      <w:pPr>
        <w:pStyle w:val="Prrafodelista"/>
        <w:numPr>
          <w:ilvl w:val="0"/>
          <w:numId w:val="12"/>
        </w:numPr>
        <w:jc w:val="both"/>
        <w:rPr>
          <w:lang w:val="es-MX"/>
        </w:rPr>
      </w:pPr>
      <w:r w:rsidRPr="009C30A3">
        <w:rPr>
          <w:lang w:val="es-MX"/>
        </w:rPr>
        <w:t>El periodo en que se requiere habilitar el puerto.</w:t>
      </w:r>
    </w:p>
    <w:p w14:paraId="3567E76D" w14:textId="77777777" w:rsidR="00055504" w:rsidRPr="009C30A3" w:rsidRDefault="00055504" w:rsidP="00055504">
      <w:pPr>
        <w:pStyle w:val="Prrafodelista"/>
        <w:ind w:left="2520"/>
        <w:jc w:val="both"/>
        <w:rPr>
          <w:lang w:val="es-MX"/>
        </w:rPr>
      </w:pPr>
    </w:p>
    <w:p w14:paraId="3E28DF24" w14:textId="77777777" w:rsidR="00055504" w:rsidRDefault="00055504" w:rsidP="00055504">
      <w:pPr>
        <w:pStyle w:val="Prrafodelista"/>
        <w:numPr>
          <w:ilvl w:val="2"/>
          <w:numId w:val="2"/>
        </w:numPr>
        <w:jc w:val="both"/>
        <w:rPr>
          <w:lang w:val="es-MX"/>
        </w:rPr>
      </w:pPr>
      <w:r w:rsidRPr="00055504">
        <w:rPr>
          <w:lang w:val="es-MX"/>
        </w:rPr>
        <w:t>El Gerente solicitante recibirá respuesta vía correo durante el trascurso del día en que se realizó la solicitud.</w:t>
      </w:r>
    </w:p>
    <w:p w14:paraId="1544E894" w14:textId="77777777" w:rsidR="008E4EDB" w:rsidRPr="00055504" w:rsidRDefault="008E4EDB" w:rsidP="008E4EDB">
      <w:pPr>
        <w:pStyle w:val="Prrafodelista"/>
        <w:ind w:left="1800"/>
        <w:jc w:val="both"/>
        <w:rPr>
          <w:lang w:val="es-MX"/>
        </w:rPr>
      </w:pPr>
    </w:p>
    <w:p w14:paraId="094807FB" w14:textId="32B5FF40" w:rsidR="00F61F05" w:rsidRDefault="008E4EDB" w:rsidP="008E4EDB">
      <w:pPr>
        <w:pStyle w:val="Prrafodelista"/>
        <w:numPr>
          <w:ilvl w:val="2"/>
          <w:numId w:val="2"/>
        </w:numPr>
        <w:jc w:val="both"/>
        <w:rPr>
          <w:lang w:val="es-MX"/>
        </w:rPr>
      </w:pPr>
      <w:r w:rsidRPr="008E4EDB">
        <w:rPr>
          <w:lang w:val="es-MX"/>
        </w:rPr>
        <w:t>La Gerencia de Infraestructura definirá los lugares a los que podrá ser trasladado el medio de almacenamiento y la información que podrá ser trasladada en éste.</w:t>
      </w:r>
    </w:p>
    <w:p w14:paraId="7B8EB455" w14:textId="77777777" w:rsidR="008E4EDB" w:rsidRPr="008E4EDB" w:rsidRDefault="008E4EDB" w:rsidP="008E4EDB">
      <w:pPr>
        <w:pStyle w:val="Prrafodelista"/>
        <w:rPr>
          <w:lang w:val="es-MX"/>
        </w:rPr>
      </w:pPr>
    </w:p>
    <w:p w14:paraId="5ACCBD80" w14:textId="2F8BB2A5" w:rsidR="008E4EDB" w:rsidRPr="008E4EDB" w:rsidRDefault="008E4EDB" w:rsidP="00CB17C5">
      <w:pPr>
        <w:pStyle w:val="Prrafodelista"/>
        <w:numPr>
          <w:ilvl w:val="1"/>
          <w:numId w:val="2"/>
        </w:numPr>
        <w:spacing w:before="60" w:after="60"/>
        <w:contextualSpacing w:val="0"/>
        <w:jc w:val="both"/>
        <w:rPr>
          <w:b/>
          <w:bCs/>
          <w:lang w:val="es-MX"/>
        </w:rPr>
      </w:pPr>
      <w:r w:rsidRPr="008E4EDB">
        <w:rPr>
          <w:b/>
          <w:bCs/>
          <w:lang w:val="es-MX"/>
        </w:rPr>
        <w:t>Revocación.</w:t>
      </w:r>
    </w:p>
    <w:p w14:paraId="6752F104" w14:textId="77777777" w:rsidR="00CB17C5" w:rsidRPr="00CB17C5" w:rsidRDefault="00CB17C5" w:rsidP="00CB17C5">
      <w:pPr>
        <w:pStyle w:val="Prrafodelista"/>
        <w:numPr>
          <w:ilvl w:val="2"/>
          <w:numId w:val="2"/>
        </w:numPr>
        <w:spacing w:before="60" w:after="60"/>
        <w:contextualSpacing w:val="0"/>
        <w:jc w:val="both"/>
        <w:rPr>
          <w:lang w:val="es-MX"/>
        </w:rPr>
      </w:pPr>
      <w:r w:rsidRPr="00CB17C5">
        <w:rPr>
          <w:lang w:val="es-MX"/>
        </w:rPr>
        <w:t>Para la revocación del uso de dispositivos removibles de almacenamiento se debe especificar al momento de la solicitud de autorización, donde el solicitante define el periodo en que se requiere habilitar el puerto.  De no especificar el periodo de revocación, el área de TI, establece por default una semana de autorización.</w:t>
      </w:r>
    </w:p>
    <w:p w14:paraId="73F50250" w14:textId="77777777" w:rsidR="00CB17C5" w:rsidRPr="00CB17C5" w:rsidRDefault="00CB17C5" w:rsidP="00CB17C5">
      <w:pPr>
        <w:spacing w:before="60" w:after="60"/>
        <w:ind w:left="1080"/>
        <w:jc w:val="both"/>
        <w:rPr>
          <w:lang w:val="es-MX"/>
        </w:rPr>
      </w:pPr>
    </w:p>
    <w:p w14:paraId="662402C1" w14:textId="4C606C3C" w:rsidR="00CB17C5" w:rsidRPr="00CB17C5" w:rsidRDefault="00CB17C5" w:rsidP="00CB17C5">
      <w:pPr>
        <w:pStyle w:val="Prrafodelista"/>
        <w:numPr>
          <w:ilvl w:val="2"/>
          <w:numId w:val="2"/>
        </w:numPr>
        <w:spacing w:before="60" w:after="60"/>
        <w:contextualSpacing w:val="0"/>
        <w:jc w:val="both"/>
        <w:rPr>
          <w:lang w:val="es-MX"/>
        </w:rPr>
      </w:pPr>
      <w:r w:rsidRPr="00CB17C5">
        <w:rPr>
          <w:lang w:val="es-MX"/>
        </w:rPr>
        <w:t>En caso de incumplimiento de las funciones para las que fue otorgado el permiso, éste se revocará inmediatamente.</w:t>
      </w:r>
    </w:p>
    <w:p w14:paraId="7DCB78C0" w14:textId="77777777" w:rsidR="00CB17C5" w:rsidRPr="00CB17C5" w:rsidRDefault="00CB17C5" w:rsidP="00CB17C5">
      <w:pPr>
        <w:pStyle w:val="Prrafodelista"/>
        <w:spacing w:before="60" w:after="60"/>
        <w:ind w:left="1800"/>
        <w:contextualSpacing w:val="0"/>
        <w:jc w:val="both"/>
        <w:rPr>
          <w:lang w:val="es-MX"/>
        </w:rPr>
      </w:pPr>
    </w:p>
    <w:p w14:paraId="5090D544" w14:textId="32904436" w:rsidR="008E4EDB" w:rsidRDefault="00CB17C5" w:rsidP="00CB17C5">
      <w:pPr>
        <w:pStyle w:val="Prrafodelista"/>
        <w:numPr>
          <w:ilvl w:val="1"/>
          <w:numId w:val="2"/>
        </w:numPr>
        <w:jc w:val="both"/>
        <w:rPr>
          <w:b/>
          <w:bCs/>
          <w:lang w:val="es-MX"/>
        </w:rPr>
      </w:pPr>
      <w:r w:rsidRPr="00CB17C5">
        <w:rPr>
          <w:b/>
          <w:bCs/>
          <w:lang w:val="es-MX"/>
        </w:rPr>
        <w:t>Traslado.</w:t>
      </w:r>
    </w:p>
    <w:p w14:paraId="761AD199" w14:textId="77777777" w:rsidR="00CB17C5" w:rsidRPr="00CB17C5" w:rsidRDefault="00CB17C5" w:rsidP="00CB17C5">
      <w:pPr>
        <w:pStyle w:val="Prrafodelista"/>
        <w:rPr>
          <w:b/>
          <w:bCs/>
          <w:lang w:val="es-MX"/>
        </w:rPr>
      </w:pPr>
    </w:p>
    <w:p w14:paraId="54526F13" w14:textId="77777777" w:rsidR="00171055" w:rsidRPr="00171055" w:rsidRDefault="00171055" w:rsidP="00171055">
      <w:pPr>
        <w:pStyle w:val="Prrafodelista"/>
        <w:numPr>
          <w:ilvl w:val="2"/>
          <w:numId w:val="2"/>
        </w:numPr>
        <w:jc w:val="both"/>
        <w:rPr>
          <w:lang w:val="es-MX"/>
        </w:rPr>
      </w:pPr>
      <w:r w:rsidRPr="00171055">
        <w:rPr>
          <w:lang w:val="es-MX"/>
        </w:rPr>
        <w:t>Los medios de almacenamiento podrán ser trasladados únicamente a los lugares a los cuales fue otorgado el permiso y con la información que fue autorizada (USB, CD, DVD, HD-USB, etc.).</w:t>
      </w:r>
    </w:p>
    <w:p w14:paraId="358C3ED2" w14:textId="77777777" w:rsidR="008E4EDB" w:rsidRDefault="008E4EDB" w:rsidP="00171055">
      <w:pPr>
        <w:pStyle w:val="Prrafodelista"/>
        <w:ind w:left="1800"/>
        <w:jc w:val="both"/>
        <w:rPr>
          <w:b/>
          <w:bCs/>
          <w:lang w:val="es-MX"/>
        </w:rPr>
      </w:pPr>
    </w:p>
    <w:p w14:paraId="046DCF59" w14:textId="77777777" w:rsidR="00171055" w:rsidRDefault="00171055" w:rsidP="00171055">
      <w:pPr>
        <w:pStyle w:val="Prrafodelista"/>
        <w:ind w:left="1800"/>
        <w:jc w:val="both"/>
        <w:rPr>
          <w:b/>
          <w:bCs/>
          <w:lang w:val="es-MX"/>
        </w:rPr>
      </w:pPr>
    </w:p>
    <w:p w14:paraId="4B1EE41C" w14:textId="77777777" w:rsidR="00171055" w:rsidRDefault="00171055" w:rsidP="00171055">
      <w:pPr>
        <w:pStyle w:val="Prrafodelista"/>
        <w:ind w:left="1800"/>
        <w:jc w:val="both"/>
        <w:rPr>
          <w:b/>
          <w:bCs/>
          <w:lang w:val="es-MX"/>
        </w:rPr>
      </w:pPr>
    </w:p>
    <w:p w14:paraId="5B489F88" w14:textId="77777777" w:rsidR="00171055" w:rsidRDefault="00171055" w:rsidP="00171055">
      <w:pPr>
        <w:pStyle w:val="Prrafodelista"/>
        <w:ind w:left="1800"/>
        <w:jc w:val="both"/>
        <w:rPr>
          <w:b/>
          <w:bCs/>
          <w:lang w:val="es-MX"/>
        </w:rPr>
      </w:pPr>
    </w:p>
    <w:p w14:paraId="509FF98E" w14:textId="77777777" w:rsidR="00171055" w:rsidRDefault="00171055" w:rsidP="00171055">
      <w:pPr>
        <w:pStyle w:val="Prrafodelista"/>
        <w:ind w:left="1800"/>
        <w:jc w:val="both"/>
        <w:rPr>
          <w:b/>
          <w:bCs/>
          <w:lang w:val="es-MX"/>
        </w:rPr>
      </w:pPr>
    </w:p>
    <w:p w14:paraId="39E0C25A" w14:textId="77777777" w:rsidR="00171055" w:rsidRDefault="00171055" w:rsidP="00171055">
      <w:pPr>
        <w:pStyle w:val="Prrafodelista"/>
        <w:ind w:left="1800"/>
        <w:jc w:val="both"/>
        <w:rPr>
          <w:b/>
          <w:bCs/>
          <w:lang w:val="es-MX"/>
        </w:rPr>
      </w:pPr>
    </w:p>
    <w:p w14:paraId="7B11EA79" w14:textId="77777777" w:rsidR="00171055" w:rsidRDefault="00171055" w:rsidP="00171055">
      <w:pPr>
        <w:pStyle w:val="Prrafodelista"/>
        <w:ind w:left="1800"/>
        <w:jc w:val="both"/>
        <w:rPr>
          <w:b/>
          <w:bCs/>
          <w:lang w:val="es-MX"/>
        </w:rPr>
      </w:pPr>
    </w:p>
    <w:p w14:paraId="04669479" w14:textId="77777777" w:rsidR="00171055" w:rsidRDefault="00171055" w:rsidP="00171055">
      <w:pPr>
        <w:pStyle w:val="Prrafodelista"/>
        <w:ind w:left="1800"/>
        <w:jc w:val="both"/>
        <w:rPr>
          <w:b/>
          <w:bCs/>
          <w:lang w:val="es-MX"/>
        </w:rPr>
      </w:pPr>
    </w:p>
    <w:p w14:paraId="26AB72C1" w14:textId="77777777" w:rsidR="00171055" w:rsidRPr="00171055" w:rsidRDefault="00171055" w:rsidP="00171055">
      <w:pPr>
        <w:pStyle w:val="Prrafodelista"/>
        <w:ind w:left="1800"/>
        <w:jc w:val="both"/>
        <w:rPr>
          <w:b/>
          <w:bCs/>
          <w:lang w:val="es-MX"/>
        </w:rPr>
      </w:pPr>
    </w:p>
    <w:p w14:paraId="3570702D" w14:textId="77777777" w:rsidR="008E4EDB" w:rsidRPr="008E4EDB" w:rsidRDefault="008E4EDB" w:rsidP="008E4EDB">
      <w:pPr>
        <w:pStyle w:val="Prrafodelista"/>
        <w:ind w:left="180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27999563" w14:textId="7FC16F48" w:rsidR="00171055" w:rsidRPr="00171055" w:rsidRDefault="00171055" w:rsidP="0017105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71055">
        <w:rPr>
          <w:rFonts w:cs="Arial"/>
          <w:b/>
          <w:bCs/>
          <w:sz w:val="22"/>
          <w:szCs w:val="22"/>
          <w:lang w:val="es-MX"/>
        </w:rPr>
        <w:t>Glosario</w:t>
      </w:r>
    </w:p>
    <w:p w14:paraId="74DABA13" w14:textId="1B51D69B" w:rsidR="00171055" w:rsidRDefault="00171055" w:rsidP="0017105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1BBED22A" w14:textId="77777777" w:rsidR="00171055" w:rsidRDefault="00171055" w:rsidP="00171055">
      <w:pPr>
        <w:pStyle w:val="Encabezado"/>
        <w:tabs>
          <w:tab w:val="clear" w:pos="4320"/>
          <w:tab w:val="clear" w:pos="8640"/>
        </w:tabs>
        <w:spacing w:beforeLines="50" w:before="120" w:afterLines="50" w:after="120"/>
        <w:ind w:left="644"/>
        <w:jc w:val="both"/>
        <w:rPr>
          <w:rFonts w:cs="Arial"/>
          <w:lang w:val="es-MX"/>
        </w:rPr>
      </w:pPr>
    </w:p>
    <w:p w14:paraId="6882D045" w14:textId="58D110E3" w:rsidR="00171055" w:rsidRPr="00171055" w:rsidRDefault="00171055" w:rsidP="0017105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71055">
        <w:rPr>
          <w:rFonts w:cs="Arial"/>
          <w:b/>
          <w:bCs/>
          <w:sz w:val="22"/>
          <w:szCs w:val="22"/>
          <w:lang w:val="es-MX"/>
        </w:rPr>
        <w:t>Anexos</w:t>
      </w:r>
    </w:p>
    <w:p w14:paraId="0B20B950" w14:textId="77777777" w:rsidR="00171055" w:rsidRDefault="00171055" w:rsidP="0017105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3F61199F" w14:textId="77777777" w:rsidR="00171055" w:rsidRPr="00E8237D" w:rsidRDefault="00171055" w:rsidP="00171055">
      <w:pPr>
        <w:pStyle w:val="Encabezado"/>
        <w:tabs>
          <w:tab w:val="clear" w:pos="4320"/>
          <w:tab w:val="clear" w:pos="8640"/>
        </w:tabs>
        <w:spacing w:beforeLines="50" w:before="120" w:afterLines="50" w:after="120"/>
        <w:ind w:left="644"/>
        <w:jc w:val="both"/>
        <w:rPr>
          <w:rFonts w:cs="Arial"/>
          <w:lang w:val="es-MX"/>
        </w:rPr>
      </w:pPr>
    </w:p>
    <w:sectPr w:rsidR="0017105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E895" w14:textId="77777777" w:rsidR="007D7DE1" w:rsidRDefault="007D7DE1">
      <w:r>
        <w:separator/>
      </w:r>
    </w:p>
  </w:endnote>
  <w:endnote w:type="continuationSeparator" w:id="0">
    <w:p w14:paraId="7B4169F8" w14:textId="77777777" w:rsidR="007D7DE1" w:rsidRDefault="007D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37AEF659" w:rsidR="001E29EA" w:rsidRPr="001E32A6" w:rsidRDefault="000871F7"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6C21B72"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871F7">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871F7">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0871F7" w14:paraId="075D73BF" w14:textId="77777777" w:rsidTr="001E32A6">
      <w:tc>
        <w:tcPr>
          <w:tcW w:w="10926" w:type="dxa"/>
        </w:tcPr>
        <w:p w14:paraId="6E2B1F52" w14:textId="1FA5811F" w:rsidR="001E29EA" w:rsidRPr="001E32A6" w:rsidRDefault="000871F7"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01028C7"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871F7">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871F7">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B030" w14:textId="77777777" w:rsidR="007D7DE1" w:rsidRDefault="007D7DE1">
      <w:r>
        <w:separator/>
      </w:r>
    </w:p>
  </w:footnote>
  <w:footnote w:type="continuationSeparator" w:id="0">
    <w:p w14:paraId="68DD432C" w14:textId="77777777" w:rsidR="007D7DE1" w:rsidRDefault="007D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6F885C11"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0871F7" w14:paraId="6EACD3D2" w14:textId="77777777" w:rsidTr="0086459B">
      <w:trPr>
        <w:cantSplit/>
        <w:trHeight w:val="708"/>
      </w:trPr>
      <w:tc>
        <w:tcPr>
          <w:tcW w:w="10671" w:type="dxa"/>
          <w:tcBorders>
            <w:bottom w:val="single" w:sz="12" w:space="0" w:color="5B9BD5" w:themeColor="accent1"/>
          </w:tcBorders>
          <w:vAlign w:val="center"/>
        </w:tcPr>
        <w:p w14:paraId="27CC0C84" w14:textId="77777777" w:rsidR="000871F7" w:rsidRPr="006B28E8" w:rsidRDefault="000871F7" w:rsidP="000871F7">
          <w:pPr>
            <w:jc w:val="center"/>
            <w:rPr>
              <w:b/>
              <w:lang w:val="es-MX"/>
            </w:rPr>
          </w:pPr>
          <w:r w:rsidRPr="006B28E8">
            <w:rPr>
              <w:b/>
              <w:lang w:val="es-MX"/>
            </w:rPr>
            <w:t>Sendero Fuel,</w:t>
          </w:r>
        </w:p>
        <w:p w14:paraId="42E6A2A9" w14:textId="5A08F4A6" w:rsidR="0086459B" w:rsidRPr="0086459B" w:rsidRDefault="000871F7" w:rsidP="000871F7">
          <w:pPr>
            <w:pStyle w:val="Encabezado"/>
            <w:jc w:val="center"/>
            <w:rPr>
              <w:b/>
              <w:lang w:val="es-MX"/>
            </w:rPr>
          </w:pPr>
          <w:r w:rsidRPr="006B28E8">
            <w:rPr>
              <w:b/>
              <w:lang w:val="es-MX"/>
            </w:rPr>
            <w:t>S.A. de C.V.</w:t>
          </w:r>
        </w:p>
      </w:tc>
    </w:tr>
  </w:tbl>
  <w:p w14:paraId="4F456931" w14:textId="5D40EC2A"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25A2BF0F"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871F7"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174CC15" w:rsidR="00F855EF" w:rsidRPr="00CA7845" w:rsidRDefault="000871F7" w:rsidP="00CA7845">
          <w:pPr>
            <w:overflowPunct/>
            <w:autoSpaceDE/>
            <w:autoSpaceDN/>
            <w:adjustRightInd/>
            <w:jc w:val="center"/>
            <w:textAlignment w:val="auto"/>
            <w:rPr>
              <w:color w:val="000000" w:themeColor="text1"/>
              <w:lang w:val="es-MX"/>
            </w:rPr>
          </w:pPr>
          <w:r>
            <w:rPr>
              <w:color w:val="000000" w:themeColor="text1"/>
              <w:lang w:val="es-MX"/>
            </w:rPr>
            <w:t>SF</w:t>
          </w:r>
          <w:r w:rsidR="0003149F" w:rsidRPr="0003149F">
            <w:rPr>
              <w:color w:val="000000" w:themeColor="text1"/>
              <w:lang w:val="es-MX"/>
            </w:rPr>
            <w:t>-POL-07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A914208" w:rsidR="00F855EF" w:rsidRPr="00CA7845" w:rsidRDefault="0003149F"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5A1248C5" w:rsidR="00F855EF" w:rsidRPr="00CA7845" w:rsidRDefault="000871F7"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213FE068" w14:textId="77777777" w:rsidR="000871F7" w:rsidRPr="00CA7845" w:rsidRDefault="000871F7" w:rsidP="000871F7">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2A90B9F8" w:rsidR="00F855EF" w:rsidRPr="00CA7845" w:rsidRDefault="000871F7" w:rsidP="000871F7">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871F7"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F404D65" w:rsidR="00F855EF" w:rsidRPr="00CA7845" w:rsidRDefault="0003149F" w:rsidP="00872C12">
          <w:pPr>
            <w:jc w:val="center"/>
            <w:rPr>
              <w:color w:val="000000" w:themeColor="text1"/>
              <w:lang w:val="es-MX"/>
            </w:rPr>
          </w:pPr>
          <w:r w:rsidRPr="0003149F">
            <w:rPr>
              <w:color w:val="000000" w:themeColor="text1"/>
              <w:lang w:val="es-MX"/>
            </w:rPr>
            <w:t>Autorización y Revocación de Uso de Medios Removibles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34974D3"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3149F">
      <w:rPr>
        <w:b/>
        <w:color w:val="000000" w:themeColor="text1"/>
        <w:lang w:val="es-MX"/>
      </w:rPr>
      <w:t>20</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615792"/>
    <w:multiLevelType w:val="hybridMultilevel"/>
    <w:tmpl w:val="768424A2"/>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9"/>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149F"/>
    <w:rsid w:val="00037876"/>
    <w:rsid w:val="00044216"/>
    <w:rsid w:val="000477B2"/>
    <w:rsid w:val="00055504"/>
    <w:rsid w:val="00060C29"/>
    <w:rsid w:val="000625DD"/>
    <w:rsid w:val="000641CF"/>
    <w:rsid w:val="00065DCB"/>
    <w:rsid w:val="00072A66"/>
    <w:rsid w:val="00077459"/>
    <w:rsid w:val="000847B0"/>
    <w:rsid w:val="00086E8B"/>
    <w:rsid w:val="000871F7"/>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71055"/>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D7DE1"/>
    <w:rsid w:val="007E21E6"/>
    <w:rsid w:val="00800330"/>
    <w:rsid w:val="00801003"/>
    <w:rsid w:val="00811375"/>
    <w:rsid w:val="00813968"/>
    <w:rsid w:val="00821F5C"/>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8E4EDB"/>
    <w:rsid w:val="00917D38"/>
    <w:rsid w:val="00921C73"/>
    <w:rsid w:val="009376F0"/>
    <w:rsid w:val="00944F55"/>
    <w:rsid w:val="00947020"/>
    <w:rsid w:val="00964163"/>
    <w:rsid w:val="00967599"/>
    <w:rsid w:val="00967BC0"/>
    <w:rsid w:val="0097281E"/>
    <w:rsid w:val="009774FF"/>
    <w:rsid w:val="009A0276"/>
    <w:rsid w:val="009A14E3"/>
    <w:rsid w:val="009B6690"/>
    <w:rsid w:val="009C104C"/>
    <w:rsid w:val="009C107D"/>
    <w:rsid w:val="009C30A3"/>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57D44"/>
    <w:rsid w:val="00C7394E"/>
    <w:rsid w:val="00C77FED"/>
    <w:rsid w:val="00C92727"/>
    <w:rsid w:val="00CA7845"/>
    <w:rsid w:val="00CB17C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115FB"/>
    <w:rsid w:val="00D20613"/>
    <w:rsid w:val="00D21602"/>
    <w:rsid w:val="00D27AF7"/>
    <w:rsid w:val="00D42AD6"/>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purl.org/dc/dcmitype/"/>
    <ds:schemaRef ds:uri="http://purl.org/dc/elements/1.1/"/>
    <ds:schemaRef ds:uri="http://purl.org/dc/terms/"/>
    <ds:schemaRef ds:uri="http://schemas.microsoft.com/office/2006/metadata/properties"/>
    <ds:schemaRef ds:uri="5c526cf6-6d1d-4673-a2c2-fd262c1babbc"/>
    <ds:schemaRef ds:uri="http://schemas.microsoft.com/office/2006/documentManagement/types"/>
    <ds:schemaRef ds:uri="http://schemas.openxmlformats.org/package/2006/metadata/core-properties"/>
    <ds:schemaRef ds:uri="d1c11e9e-5d52-465f-89ed-23c3fd784888"/>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1893</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2026-03-11T20:07:00Z</dcterms:created>
  <dcterms:modified xsi:type="dcterms:W3CDTF">2026-03-11T20:07:00Z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